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797"/>
        <w:gridCol w:w="7841"/>
      </w:tblGrid>
      <w:tr w:rsidR="00A93099" w:rsidRPr="00A93099" w:rsidTr="00A93099">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b/>
                <w:bCs/>
                <w:color w:val="000000"/>
                <w:sz w:val="27"/>
                <w:szCs w:val="27"/>
                <w:lang w:eastAsia="it-IT"/>
              </w:rPr>
            </w:pPr>
            <w:r w:rsidRPr="00A93099">
              <w:rPr>
                <w:rFonts w:ascii="Times New Roman" w:eastAsia="Times New Roman" w:hAnsi="Times New Roman" w:cs="Times New Roman"/>
                <w:b/>
                <w:bCs/>
                <w:color w:val="000000"/>
                <w:sz w:val="27"/>
                <w:szCs w:val="27"/>
                <w:lang w:eastAsia="it-IT"/>
              </w:rPr>
              <w:t>Procedimento</w:t>
            </w:r>
          </w:p>
        </w:tc>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color w:val="000000"/>
                <w:sz w:val="27"/>
                <w:szCs w:val="27"/>
                <w:lang w:eastAsia="it-IT"/>
              </w:rPr>
            </w:pPr>
            <w:bookmarkStart w:id="0" w:name="OLE_LINK1"/>
            <w:bookmarkStart w:id="1" w:name="OLE_LINK2"/>
            <w:bookmarkStart w:id="2" w:name="_GoBack"/>
            <w:r w:rsidRPr="00A93099">
              <w:rPr>
                <w:rFonts w:ascii="Times New Roman" w:eastAsia="Times New Roman" w:hAnsi="Times New Roman" w:cs="Times New Roman"/>
                <w:color w:val="000000"/>
                <w:sz w:val="27"/>
                <w:szCs w:val="27"/>
                <w:lang w:eastAsia="it-IT"/>
              </w:rPr>
              <w:t>ABITABILITA’ - AGIBILITA’</w:t>
            </w:r>
            <w:bookmarkEnd w:id="0"/>
            <w:bookmarkEnd w:id="1"/>
            <w:bookmarkEnd w:id="2"/>
          </w:p>
        </w:tc>
      </w:tr>
      <w:tr w:rsidR="00A93099" w:rsidRPr="00A93099" w:rsidTr="00A93099">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b/>
                <w:bCs/>
                <w:color w:val="000000"/>
                <w:sz w:val="27"/>
                <w:szCs w:val="27"/>
                <w:lang w:eastAsia="it-IT"/>
              </w:rPr>
            </w:pPr>
            <w:r w:rsidRPr="00A93099">
              <w:rPr>
                <w:rFonts w:ascii="Times New Roman" w:eastAsia="Times New Roman" w:hAnsi="Times New Roman" w:cs="Times New Roman"/>
                <w:b/>
                <w:bCs/>
                <w:color w:val="000000"/>
                <w:sz w:val="27"/>
                <w:szCs w:val="27"/>
                <w:lang w:eastAsia="it-IT"/>
              </w:rPr>
              <w:t>Informazioni</w:t>
            </w:r>
          </w:p>
        </w:tc>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color w:val="000000"/>
                <w:sz w:val="27"/>
                <w:szCs w:val="27"/>
                <w:lang w:eastAsia="it-IT"/>
              </w:rPr>
            </w:pPr>
            <w:r w:rsidRPr="00A93099">
              <w:rPr>
                <w:rFonts w:ascii="Times New Roman" w:eastAsia="Times New Roman" w:hAnsi="Times New Roman" w:cs="Times New Roman"/>
                <w:color w:val="000000"/>
                <w:sz w:val="27"/>
                <w:szCs w:val="27"/>
                <w:lang w:eastAsia="it-IT"/>
              </w:rPr>
              <w:t xml:space="preserve">Dal 30.06.2003 il certificato di abitabilità e di agibilità sono unificati nell'unico certificato di agibilità. Serve per poter utilizzare le nuove costruzioni; le ricostruzioni o sopraelevazioni, totali o parziali; nei casi in cui lavori edilizi su edifici esistenti possano influire sulle condizioni di sicurezza, </w:t>
            </w:r>
            <w:proofErr w:type="spellStart"/>
            <w:r w:rsidRPr="00A93099">
              <w:rPr>
                <w:rFonts w:ascii="Times New Roman" w:eastAsia="Times New Roman" w:hAnsi="Times New Roman" w:cs="Times New Roman"/>
                <w:color w:val="000000"/>
                <w:sz w:val="27"/>
                <w:szCs w:val="27"/>
                <w:lang w:eastAsia="it-IT"/>
              </w:rPr>
              <w:t>igiene,salubrità</w:t>
            </w:r>
            <w:proofErr w:type="spellEnd"/>
            <w:r w:rsidRPr="00A93099">
              <w:rPr>
                <w:rFonts w:ascii="Times New Roman" w:eastAsia="Times New Roman" w:hAnsi="Times New Roman" w:cs="Times New Roman"/>
                <w:color w:val="000000"/>
                <w:sz w:val="27"/>
                <w:szCs w:val="27"/>
                <w:lang w:eastAsia="it-IT"/>
              </w:rPr>
              <w:t>, ecc.</w:t>
            </w:r>
          </w:p>
        </w:tc>
      </w:tr>
      <w:tr w:rsidR="00A93099" w:rsidRPr="00A93099" w:rsidTr="00A93099">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b/>
                <w:bCs/>
                <w:color w:val="000000"/>
                <w:sz w:val="27"/>
                <w:szCs w:val="27"/>
                <w:lang w:eastAsia="it-IT"/>
              </w:rPr>
            </w:pPr>
            <w:r w:rsidRPr="00A93099">
              <w:rPr>
                <w:rFonts w:ascii="Times New Roman" w:eastAsia="Times New Roman" w:hAnsi="Times New Roman" w:cs="Times New Roman"/>
                <w:b/>
                <w:bCs/>
                <w:color w:val="000000"/>
                <w:sz w:val="27"/>
                <w:szCs w:val="27"/>
                <w:lang w:eastAsia="it-IT"/>
              </w:rPr>
              <w:t>Come fare</w:t>
            </w:r>
          </w:p>
        </w:tc>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color w:val="000000"/>
                <w:sz w:val="27"/>
                <w:szCs w:val="27"/>
                <w:lang w:eastAsia="it-IT"/>
              </w:rPr>
            </w:pPr>
            <w:proofErr w:type="gramStart"/>
            <w:r w:rsidRPr="00A93099">
              <w:rPr>
                <w:rFonts w:ascii="Times New Roman" w:eastAsia="Times New Roman" w:hAnsi="Times New Roman" w:cs="Times New Roman"/>
                <w:color w:val="000000"/>
                <w:sz w:val="27"/>
                <w:szCs w:val="27"/>
                <w:lang w:eastAsia="it-IT"/>
              </w:rPr>
              <w:t>E’</w:t>
            </w:r>
            <w:proofErr w:type="gramEnd"/>
            <w:r w:rsidRPr="00A93099">
              <w:rPr>
                <w:rFonts w:ascii="Times New Roman" w:eastAsia="Times New Roman" w:hAnsi="Times New Roman" w:cs="Times New Roman"/>
                <w:color w:val="000000"/>
                <w:sz w:val="27"/>
                <w:szCs w:val="27"/>
                <w:lang w:eastAsia="it-IT"/>
              </w:rPr>
              <w:t xml:space="preserve"> necessario utilizzare l'apposita modulistica disponibile presso l’ufficio tecnico- Edilizia privata o scaricabile dal sito del comune. La domanda deve essere presentata all'Ufficio Protocollo corredata da una marca da bollo e tutti i documenti e certificati previsti dalla normativa vigente ed indicati nel modulo</w:t>
            </w:r>
          </w:p>
        </w:tc>
      </w:tr>
      <w:tr w:rsidR="00A93099" w:rsidRPr="00A93099" w:rsidTr="00A93099">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b/>
                <w:bCs/>
                <w:color w:val="000000"/>
                <w:sz w:val="27"/>
                <w:szCs w:val="27"/>
                <w:lang w:eastAsia="it-IT"/>
              </w:rPr>
            </w:pPr>
            <w:r w:rsidRPr="00A93099">
              <w:rPr>
                <w:rFonts w:ascii="Times New Roman" w:eastAsia="Times New Roman" w:hAnsi="Times New Roman" w:cs="Times New Roman"/>
                <w:b/>
                <w:bCs/>
                <w:color w:val="000000"/>
                <w:sz w:val="27"/>
                <w:szCs w:val="27"/>
                <w:lang w:eastAsia="it-IT"/>
              </w:rPr>
              <w:t>Tempo effettivo</w:t>
            </w:r>
          </w:p>
        </w:tc>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color w:val="000000"/>
                <w:sz w:val="27"/>
                <w:szCs w:val="27"/>
                <w:lang w:eastAsia="it-IT"/>
              </w:rPr>
            </w:pPr>
            <w:r w:rsidRPr="00A93099">
              <w:rPr>
                <w:rFonts w:ascii="Times New Roman" w:eastAsia="Times New Roman" w:hAnsi="Times New Roman" w:cs="Times New Roman"/>
                <w:color w:val="000000"/>
                <w:sz w:val="27"/>
                <w:szCs w:val="27"/>
                <w:lang w:eastAsia="it-IT"/>
              </w:rPr>
              <w:t>N.D.</w:t>
            </w:r>
          </w:p>
        </w:tc>
      </w:tr>
      <w:tr w:rsidR="00A93099" w:rsidRPr="00A93099" w:rsidTr="00A93099">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b/>
                <w:bCs/>
                <w:color w:val="000000"/>
                <w:sz w:val="27"/>
                <w:szCs w:val="27"/>
                <w:lang w:eastAsia="it-IT"/>
              </w:rPr>
            </w:pPr>
            <w:r w:rsidRPr="00A93099">
              <w:rPr>
                <w:rFonts w:ascii="Times New Roman" w:eastAsia="Times New Roman" w:hAnsi="Times New Roman" w:cs="Times New Roman"/>
                <w:b/>
                <w:bCs/>
                <w:color w:val="000000"/>
                <w:sz w:val="27"/>
                <w:szCs w:val="27"/>
                <w:lang w:eastAsia="it-IT"/>
              </w:rPr>
              <w:t>Tempo medio</w:t>
            </w:r>
          </w:p>
        </w:tc>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color w:val="000000"/>
                <w:sz w:val="27"/>
                <w:szCs w:val="27"/>
                <w:lang w:eastAsia="it-IT"/>
              </w:rPr>
            </w:pPr>
            <w:r w:rsidRPr="00A93099">
              <w:rPr>
                <w:rFonts w:ascii="Times New Roman" w:eastAsia="Times New Roman" w:hAnsi="Times New Roman" w:cs="Times New Roman"/>
                <w:color w:val="000000"/>
                <w:sz w:val="27"/>
                <w:szCs w:val="27"/>
                <w:lang w:eastAsia="it-IT"/>
              </w:rPr>
              <w:t>N.D.</w:t>
            </w:r>
          </w:p>
        </w:tc>
      </w:tr>
      <w:tr w:rsidR="00A93099" w:rsidRPr="00A93099" w:rsidTr="00A93099">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b/>
                <w:bCs/>
                <w:color w:val="000000"/>
                <w:sz w:val="27"/>
                <w:szCs w:val="27"/>
                <w:lang w:eastAsia="it-IT"/>
              </w:rPr>
            </w:pPr>
            <w:r w:rsidRPr="00A93099">
              <w:rPr>
                <w:rFonts w:ascii="Times New Roman" w:eastAsia="Times New Roman" w:hAnsi="Times New Roman" w:cs="Times New Roman"/>
                <w:b/>
                <w:bCs/>
                <w:color w:val="000000"/>
                <w:sz w:val="27"/>
                <w:szCs w:val="27"/>
                <w:lang w:eastAsia="it-IT"/>
              </w:rPr>
              <w:t>Tempi</w:t>
            </w:r>
          </w:p>
        </w:tc>
        <w:tc>
          <w:tcPr>
            <w:tcW w:w="0" w:type="auto"/>
            <w:tcMar>
              <w:top w:w="75" w:type="dxa"/>
              <w:left w:w="75" w:type="dxa"/>
              <w:bottom w:w="75" w:type="dxa"/>
              <w:right w:w="75" w:type="dxa"/>
            </w:tcMar>
            <w:vAlign w:val="center"/>
            <w:hideMark/>
          </w:tcPr>
          <w:p w:rsidR="00A93099" w:rsidRPr="00A93099" w:rsidRDefault="00A93099" w:rsidP="00A93099">
            <w:pPr>
              <w:spacing w:after="0" w:line="240" w:lineRule="auto"/>
              <w:rPr>
                <w:rFonts w:ascii="Times New Roman" w:eastAsia="Times New Roman" w:hAnsi="Times New Roman" w:cs="Times New Roman"/>
                <w:color w:val="000000"/>
                <w:sz w:val="27"/>
                <w:szCs w:val="27"/>
                <w:lang w:eastAsia="it-IT"/>
              </w:rPr>
            </w:pPr>
            <w:r w:rsidRPr="00A93099">
              <w:rPr>
                <w:rFonts w:ascii="Times New Roman" w:eastAsia="Times New Roman" w:hAnsi="Times New Roman" w:cs="Times New Roman"/>
                <w:color w:val="000000"/>
                <w:sz w:val="27"/>
                <w:szCs w:val="27"/>
                <w:lang w:eastAsia="it-IT"/>
              </w:rPr>
              <w:t xml:space="preserve">Il certificato viene rilasciato entro 30 gg. dalla presentazione dell'istanza e va ritirato direttamente all’ufficio edilizia privata. Trascorsi inutilmente i 30 giorni, l'agibilità si intende attestata nel caso sia stato rilasciato il parere dell'A.S.L. di cui all'art. 5, comma 3, lettera a) del D.P.R. 380/01 e </w:t>
            </w:r>
            <w:proofErr w:type="spellStart"/>
            <w:r w:rsidRPr="00A93099">
              <w:rPr>
                <w:rFonts w:ascii="Times New Roman" w:eastAsia="Times New Roman" w:hAnsi="Times New Roman" w:cs="Times New Roman"/>
                <w:color w:val="000000"/>
                <w:sz w:val="27"/>
                <w:szCs w:val="27"/>
                <w:lang w:eastAsia="it-IT"/>
              </w:rPr>
              <w:t>s.m</w:t>
            </w:r>
            <w:proofErr w:type="spellEnd"/>
            <w:r w:rsidRPr="00A93099">
              <w:rPr>
                <w:rFonts w:ascii="Times New Roman" w:eastAsia="Times New Roman" w:hAnsi="Times New Roman" w:cs="Times New Roman"/>
                <w:color w:val="000000"/>
                <w:sz w:val="27"/>
                <w:szCs w:val="27"/>
                <w:lang w:eastAsia="it-IT"/>
              </w:rPr>
              <w:t>. e i. In caso di autodichiarazione, il termine per la formazione del silenzio-assenso è di 60 giorni. Il termine dei 30 giorni sopraddetti può essere interrotto una sola volta dal responsabile del procedimento, entro 15 giorni dalla domanda, esclusivamente per la richiesta di documentazione integrativa. In tal caso, il termine di trenta giorni ricomincia a decorrere dalla data di ricezione della documentazione integrativa.</w:t>
            </w:r>
          </w:p>
        </w:tc>
      </w:tr>
    </w:tbl>
    <w:p w:rsidR="001E5CB6" w:rsidRDefault="001E5CB6"/>
    <w:sectPr w:rsidR="001E5C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99"/>
    <w:rsid w:val="001E5CB6"/>
    <w:rsid w:val="00A930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05D51-7A86-4668-95B8-B79DD8D9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Siscom</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Abrate</dc:creator>
  <cp:keywords/>
  <dc:description/>
  <cp:lastModifiedBy>Elena Abrate</cp:lastModifiedBy>
  <cp:revision>1</cp:revision>
  <dcterms:created xsi:type="dcterms:W3CDTF">2017-05-09T12:37:00Z</dcterms:created>
  <dcterms:modified xsi:type="dcterms:W3CDTF">2017-05-09T12:38:00Z</dcterms:modified>
</cp:coreProperties>
</file>