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798"/>
        <w:gridCol w:w="7840"/>
      </w:tblGrid>
      <w:tr w:rsidR="00885FF2" w:rsidRPr="00885FF2" w:rsidTr="00885FF2">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b/>
                <w:bCs/>
                <w:color w:val="000000"/>
                <w:sz w:val="27"/>
                <w:szCs w:val="27"/>
                <w:lang w:eastAsia="it-IT"/>
              </w:rPr>
            </w:pPr>
            <w:r w:rsidRPr="00885FF2">
              <w:rPr>
                <w:rFonts w:ascii="Times New Roman" w:eastAsia="Times New Roman" w:hAnsi="Times New Roman" w:cs="Times New Roman"/>
                <w:b/>
                <w:bCs/>
                <w:color w:val="000000"/>
                <w:sz w:val="27"/>
                <w:szCs w:val="27"/>
                <w:lang w:eastAsia="it-IT"/>
              </w:rPr>
              <w:t>Procedimento</w:t>
            </w:r>
          </w:p>
        </w:tc>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color w:val="000000"/>
                <w:sz w:val="27"/>
                <w:szCs w:val="27"/>
                <w:lang w:eastAsia="it-IT"/>
              </w:rPr>
            </w:pPr>
            <w:bookmarkStart w:id="0" w:name="_GoBack"/>
            <w:r w:rsidRPr="00885FF2">
              <w:rPr>
                <w:rFonts w:ascii="Times New Roman" w:eastAsia="Times New Roman" w:hAnsi="Times New Roman" w:cs="Times New Roman"/>
                <w:color w:val="000000"/>
                <w:sz w:val="27"/>
                <w:szCs w:val="27"/>
                <w:lang w:eastAsia="it-IT"/>
              </w:rPr>
              <w:t>ESPROPRI</w:t>
            </w:r>
            <w:bookmarkEnd w:id="0"/>
          </w:p>
        </w:tc>
      </w:tr>
      <w:tr w:rsidR="00885FF2" w:rsidRPr="00885FF2" w:rsidTr="00885FF2">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b/>
                <w:bCs/>
                <w:color w:val="000000"/>
                <w:sz w:val="27"/>
                <w:szCs w:val="27"/>
                <w:lang w:eastAsia="it-IT"/>
              </w:rPr>
            </w:pPr>
            <w:r w:rsidRPr="00885FF2">
              <w:rPr>
                <w:rFonts w:ascii="Times New Roman" w:eastAsia="Times New Roman" w:hAnsi="Times New Roman" w:cs="Times New Roman"/>
                <w:b/>
                <w:bCs/>
                <w:color w:val="000000"/>
                <w:sz w:val="27"/>
                <w:szCs w:val="27"/>
                <w:lang w:eastAsia="it-IT"/>
              </w:rPr>
              <w:t>Informazioni</w:t>
            </w:r>
          </w:p>
        </w:tc>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color w:val="000000"/>
                <w:sz w:val="27"/>
                <w:szCs w:val="27"/>
                <w:lang w:eastAsia="it-IT"/>
              </w:rPr>
            </w:pPr>
            <w:r w:rsidRPr="00885FF2">
              <w:rPr>
                <w:rFonts w:ascii="Times New Roman" w:eastAsia="Times New Roman" w:hAnsi="Times New Roman" w:cs="Times New Roman"/>
                <w:color w:val="000000"/>
                <w:sz w:val="27"/>
                <w:szCs w:val="27"/>
                <w:lang w:eastAsia="it-IT"/>
              </w:rPr>
              <w:t>Sono molteplici le opere pubbliche di competenza del Comune, e/o di altri enti o privati proponenti pratiche di esproprio, come ad esempio strade, parcheggi, piste ciclabili, fognature, ecc. Per realizzarle può essere necessario acquisire aree ed immobili di proprietà privata. Il servizio si pone principalmente l’obiettivo di esaudire tutti gli adempimenti inerenti le procedure di esproprio per pubblica utilità finalizzate alla acquisizione dei suoli privati necessari alla realizzazione delle opere pubbliche del Comune di Poirino, e tutti gli ulteriori adempimenti inerenti la quantificazione e la liquidazione delle indennità agli aventi diritto, etc. etc.</w:t>
            </w:r>
          </w:p>
        </w:tc>
      </w:tr>
      <w:tr w:rsidR="00885FF2" w:rsidRPr="00885FF2" w:rsidTr="00885FF2">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b/>
                <w:bCs/>
                <w:color w:val="000000"/>
                <w:sz w:val="27"/>
                <w:szCs w:val="27"/>
                <w:lang w:eastAsia="it-IT"/>
              </w:rPr>
            </w:pPr>
            <w:r w:rsidRPr="00885FF2">
              <w:rPr>
                <w:rFonts w:ascii="Times New Roman" w:eastAsia="Times New Roman" w:hAnsi="Times New Roman" w:cs="Times New Roman"/>
                <w:b/>
                <w:bCs/>
                <w:color w:val="000000"/>
                <w:sz w:val="27"/>
                <w:szCs w:val="27"/>
                <w:lang w:eastAsia="it-IT"/>
              </w:rPr>
              <w:t>Come fare</w:t>
            </w:r>
          </w:p>
        </w:tc>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color w:val="000000"/>
                <w:sz w:val="27"/>
                <w:szCs w:val="27"/>
                <w:lang w:eastAsia="it-IT"/>
              </w:rPr>
            </w:pPr>
            <w:r w:rsidRPr="00885FF2">
              <w:rPr>
                <w:rFonts w:ascii="Times New Roman" w:eastAsia="Times New Roman" w:hAnsi="Times New Roman" w:cs="Times New Roman"/>
                <w:color w:val="000000"/>
                <w:sz w:val="27"/>
                <w:szCs w:val="27"/>
                <w:lang w:eastAsia="it-IT"/>
              </w:rPr>
              <w:t>Il Consiglio Comunale con il piano regolatore generale o con altro atto equivalente (es. variante urbanistica) decide quale opera realizzare e dove localizzarla, approvandone altresì il progetto preliminare e dichiarandola di pubblica utilità. Successivamente la Giunta Comunale approva il progetto definitivo dell'opera. Il compimento di questi atti consente al Comune, tramite il Servizio Espropri, di avviare la procedura di esproprio.</w:t>
            </w:r>
          </w:p>
        </w:tc>
      </w:tr>
      <w:tr w:rsidR="00885FF2" w:rsidRPr="00885FF2" w:rsidTr="00885FF2">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b/>
                <w:bCs/>
                <w:color w:val="000000"/>
                <w:sz w:val="27"/>
                <w:szCs w:val="27"/>
                <w:lang w:eastAsia="it-IT"/>
              </w:rPr>
            </w:pPr>
            <w:r w:rsidRPr="00885FF2">
              <w:rPr>
                <w:rFonts w:ascii="Times New Roman" w:eastAsia="Times New Roman" w:hAnsi="Times New Roman" w:cs="Times New Roman"/>
                <w:b/>
                <w:bCs/>
                <w:color w:val="000000"/>
                <w:sz w:val="27"/>
                <w:szCs w:val="27"/>
                <w:lang w:eastAsia="it-IT"/>
              </w:rPr>
              <w:t>Tempo effettivo</w:t>
            </w:r>
          </w:p>
        </w:tc>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color w:val="000000"/>
                <w:sz w:val="27"/>
                <w:szCs w:val="27"/>
                <w:lang w:eastAsia="it-IT"/>
              </w:rPr>
            </w:pPr>
            <w:r w:rsidRPr="00885FF2">
              <w:rPr>
                <w:rFonts w:ascii="Times New Roman" w:eastAsia="Times New Roman" w:hAnsi="Times New Roman" w:cs="Times New Roman"/>
                <w:color w:val="000000"/>
                <w:sz w:val="27"/>
                <w:szCs w:val="27"/>
                <w:lang w:eastAsia="it-IT"/>
              </w:rPr>
              <w:t>N.D.</w:t>
            </w:r>
          </w:p>
        </w:tc>
      </w:tr>
      <w:tr w:rsidR="00885FF2" w:rsidRPr="00885FF2" w:rsidTr="00885FF2">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b/>
                <w:bCs/>
                <w:color w:val="000000"/>
                <w:sz w:val="27"/>
                <w:szCs w:val="27"/>
                <w:lang w:eastAsia="it-IT"/>
              </w:rPr>
            </w:pPr>
            <w:r w:rsidRPr="00885FF2">
              <w:rPr>
                <w:rFonts w:ascii="Times New Roman" w:eastAsia="Times New Roman" w:hAnsi="Times New Roman" w:cs="Times New Roman"/>
                <w:b/>
                <w:bCs/>
                <w:color w:val="000000"/>
                <w:sz w:val="27"/>
                <w:szCs w:val="27"/>
                <w:lang w:eastAsia="it-IT"/>
              </w:rPr>
              <w:t>Tempo medio</w:t>
            </w:r>
          </w:p>
        </w:tc>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color w:val="000000"/>
                <w:sz w:val="27"/>
                <w:szCs w:val="27"/>
                <w:lang w:eastAsia="it-IT"/>
              </w:rPr>
            </w:pPr>
            <w:r w:rsidRPr="00885FF2">
              <w:rPr>
                <w:rFonts w:ascii="Times New Roman" w:eastAsia="Times New Roman" w:hAnsi="Times New Roman" w:cs="Times New Roman"/>
                <w:color w:val="000000"/>
                <w:sz w:val="27"/>
                <w:szCs w:val="27"/>
                <w:lang w:eastAsia="it-IT"/>
              </w:rPr>
              <w:t>N.D.</w:t>
            </w:r>
          </w:p>
        </w:tc>
      </w:tr>
      <w:tr w:rsidR="00885FF2" w:rsidRPr="00885FF2" w:rsidTr="00885FF2">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b/>
                <w:bCs/>
                <w:color w:val="000000"/>
                <w:sz w:val="27"/>
                <w:szCs w:val="27"/>
                <w:lang w:eastAsia="it-IT"/>
              </w:rPr>
            </w:pPr>
            <w:r w:rsidRPr="00885FF2">
              <w:rPr>
                <w:rFonts w:ascii="Times New Roman" w:eastAsia="Times New Roman" w:hAnsi="Times New Roman" w:cs="Times New Roman"/>
                <w:b/>
                <w:bCs/>
                <w:color w:val="000000"/>
                <w:sz w:val="27"/>
                <w:szCs w:val="27"/>
                <w:lang w:eastAsia="it-IT"/>
              </w:rPr>
              <w:t>Tempi</w:t>
            </w:r>
          </w:p>
        </w:tc>
        <w:tc>
          <w:tcPr>
            <w:tcW w:w="0" w:type="auto"/>
            <w:tcMar>
              <w:top w:w="75" w:type="dxa"/>
              <w:left w:w="75" w:type="dxa"/>
              <w:bottom w:w="75" w:type="dxa"/>
              <w:right w:w="75" w:type="dxa"/>
            </w:tcMar>
            <w:vAlign w:val="center"/>
            <w:hideMark/>
          </w:tcPr>
          <w:p w:rsidR="00885FF2" w:rsidRPr="00885FF2" w:rsidRDefault="00885FF2" w:rsidP="00885FF2">
            <w:pPr>
              <w:spacing w:after="0" w:line="240" w:lineRule="auto"/>
              <w:rPr>
                <w:rFonts w:ascii="Times New Roman" w:eastAsia="Times New Roman" w:hAnsi="Times New Roman" w:cs="Times New Roman"/>
                <w:color w:val="000000"/>
                <w:sz w:val="27"/>
                <w:szCs w:val="27"/>
                <w:lang w:eastAsia="it-IT"/>
              </w:rPr>
            </w:pPr>
            <w:r w:rsidRPr="00885FF2">
              <w:rPr>
                <w:rFonts w:ascii="Times New Roman" w:eastAsia="Times New Roman" w:hAnsi="Times New Roman" w:cs="Times New Roman"/>
                <w:color w:val="000000"/>
                <w:sz w:val="27"/>
                <w:szCs w:val="27"/>
                <w:lang w:eastAsia="it-IT"/>
              </w:rPr>
              <w:t>La procedura espropriativa ha sempre come presupposto, oltre al vincolo preordinato all'esproprio sul piano regolatore la dichiarazione di pubblica utilità: senza di essa non è possibile l'avvio della procedura stessa. La tempistica comunque varia a seconda di quando viene dichiarata la pubblica utilità e a seconda del tipo di procedura prescelto (ordinaria o accelerata).</w:t>
            </w:r>
          </w:p>
        </w:tc>
      </w:tr>
    </w:tbl>
    <w:p w:rsidR="001E5CB6" w:rsidRDefault="001E5CB6"/>
    <w:sectPr w:rsidR="001E5C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F2"/>
    <w:rsid w:val="001E5CB6"/>
    <w:rsid w:val="00885F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418EB-D2C6-4171-A5CB-68301415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Siscom</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Abrate</dc:creator>
  <cp:keywords/>
  <dc:description/>
  <cp:lastModifiedBy>Elena Abrate</cp:lastModifiedBy>
  <cp:revision>1</cp:revision>
  <dcterms:created xsi:type="dcterms:W3CDTF">2017-05-09T14:59:00Z</dcterms:created>
  <dcterms:modified xsi:type="dcterms:W3CDTF">2017-05-09T14:59:00Z</dcterms:modified>
</cp:coreProperties>
</file>